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ind w:right="-525" w:rightChars="-250"/>
        <w:jc w:val="center"/>
        <w:rPr>
          <w:rFonts w:hint="eastAsia" w:ascii="黑体" w:hAnsi="宋体" w:eastAsia="黑体" w:cs="Times New Roman"/>
          <w:bCs/>
          <w:sz w:val="30"/>
          <w:szCs w:val="30"/>
        </w:rPr>
      </w:pPr>
      <w:r>
        <w:rPr>
          <w:rFonts w:hint="eastAsia" w:ascii="黑体" w:hAnsi="宋体" w:eastAsia="黑体" w:cs="Times New Roman"/>
          <w:bCs/>
          <w:sz w:val="30"/>
          <w:szCs w:val="30"/>
        </w:rPr>
        <w:t>江西警察学院学生勤工助学实施办法</w:t>
      </w:r>
    </w:p>
    <w:p>
      <w:pPr>
        <w:spacing w:line="360" w:lineRule="exact"/>
        <w:ind w:right="-525" w:rightChars="-250" w:firstLine="3600" w:firstLineChars="1500"/>
        <w:rPr>
          <w:rFonts w:hint="eastAsia" w:ascii="仿宋_GB2312" w:hAnsi="宋体" w:eastAsia="仿宋_GB2312" w:cs="Times New Roman"/>
          <w:bCs/>
          <w:sz w:val="24"/>
        </w:rPr>
      </w:pPr>
    </w:p>
    <w:p>
      <w:pPr>
        <w:spacing w:line="360" w:lineRule="exact"/>
        <w:ind w:right="-525" w:rightChars="-250" w:firstLine="3600" w:firstLineChars="1500"/>
        <w:rPr>
          <w:rFonts w:hint="eastAsia" w:ascii="仿宋_GB2312" w:hAnsi="宋体" w:eastAsia="仿宋_GB2312" w:cs="Times New Roman"/>
          <w:bCs/>
          <w:sz w:val="24"/>
        </w:rPr>
      </w:pPr>
      <w:r>
        <w:rPr>
          <w:rFonts w:hint="eastAsia" w:ascii="仿宋_GB2312" w:hAnsi="宋体" w:eastAsia="仿宋_GB2312" w:cs="Times New Roman"/>
          <w:bCs/>
          <w:sz w:val="24"/>
        </w:rPr>
        <w:t>第一章　总则</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第一条 根据教育部、财政部《高等学校勤工助学管理办法（2018年修订）》（教财〔2018〕12号）文件要求，为规范管理学院学生勤工助学工作，促进勤工助学活动健康、有序开展，保障学生合法权益，帮助学生顺利完成学业，发挥勤工助学育人功能，培养学生自立自强、创新创业精神，增强学生社会实践能力，结合学院实际，特制定本实施办法。</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第二条 本办法所称学生是指学院招收的本科生和研究生。</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第三条 本办法所称勤工助学活动是指学生在学院的统一组织下利用课余时间，通过劳动取得合法报酬，用于改善学习和生活条件的实践活动。</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第四条 勤工助学是学院学生资助工作的重要组成部分，是提高学生综合素质和资助家庭经济困难学生的有效途径，是实现全程育人、全方位育人的有效平台。勤工助学活动应坚持“立足校园、服务社会”的宗旨，按照学有余力、自愿申请、信息公开、扶困优先、竞争上岗、遵纪守法的原则，由学院在不影响正常教学秩序和学生正常学习的前提下有组织地开展。</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第五条 勤工助学活动由学院学生处（学生资助管理中心）统一组织和管理。学生私自在校外兼职的行为，不在本办法规定之列。</w:t>
      </w:r>
    </w:p>
    <w:p>
      <w:pPr>
        <w:spacing w:line="360" w:lineRule="exact"/>
        <w:ind w:left="-525" w:leftChars="-250" w:right="-525" w:rightChars="-250" w:firstLine="3840" w:firstLineChars="1600"/>
        <w:rPr>
          <w:rFonts w:hint="eastAsia" w:ascii="仿宋_GB2312" w:eastAsia="仿宋_GB2312" w:cs="Times New Roman"/>
          <w:sz w:val="24"/>
        </w:rPr>
      </w:pPr>
      <w:r>
        <w:rPr>
          <w:rFonts w:hint="eastAsia" w:ascii="仿宋_GB2312" w:eastAsia="仿宋_GB2312" w:cs="Times New Roman"/>
          <w:sz w:val="24"/>
        </w:rPr>
        <w:t>第二章　组织机构</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第六条 学院学生资助工作领导小组全面领导勤工助学工作，负责协调学院的宣传、学工、财务、人事、教务、科研、后勤、团委等部门配合学生资助管理机构开展相关工作。</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第七条 学院学生资助管理机构为学生资助管理中心，挂靠学生处，具体负责勤工助学的日常管理工作。</w:t>
      </w:r>
    </w:p>
    <w:p>
      <w:pPr>
        <w:spacing w:line="360" w:lineRule="exact"/>
        <w:ind w:left="-525" w:leftChars="-250" w:right="-525" w:rightChars="-250" w:firstLine="3840" w:firstLineChars="1600"/>
        <w:rPr>
          <w:rFonts w:hint="eastAsia" w:ascii="仿宋_GB2312" w:eastAsia="仿宋_GB2312" w:cs="Times New Roman"/>
          <w:sz w:val="24"/>
        </w:rPr>
      </w:pPr>
      <w:r>
        <w:rPr>
          <w:rFonts w:hint="eastAsia" w:ascii="仿宋_GB2312" w:eastAsia="仿宋_GB2312" w:cs="Times New Roman"/>
          <w:sz w:val="24"/>
        </w:rPr>
        <w:t>第三章　学院职责</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第八条 组织开展勤工助学活动是学院学生工作的重要内容。学院要加强领导，认真组织，积极宣传，校内有关职能部门要充分发挥作用，在工作安排、人员配备、资金落实、办公场地、活动场所及助学岗位设置等方面给予大力支持，为学生勤工助学活动提供指导、服务和保障。</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第九条 加强对勤工助学学生的思想教育，培养学生热爱劳动、自强不息、创新创业的奋斗精神，增强学生综合素质，充分发挥勤工助学育人功能。</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第十条 根据国家有关规定，筹措经费，设立勤工助学专项资金，并制定资金使用与管理办法。</w:t>
      </w:r>
    </w:p>
    <w:p>
      <w:pPr>
        <w:spacing w:line="360" w:lineRule="exact"/>
        <w:ind w:left="-525" w:leftChars="-250" w:right="-525" w:rightChars="-250" w:firstLine="3120" w:firstLineChars="1300"/>
        <w:rPr>
          <w:rFonts w:hint="eastAsia" w:ascii="仿宋_GB2312" w:eastAsia="仿宋_GB2312" w:cs="Times New Roman"/>
          <w:sz w:val="24"/>
        </w:rPr>
      </w:pPr>
      <w:r>
        <w:rPr>
          <w:rFonts w:hint="eastAsia" w:ascii="仿宋_GB2312" w:eastAsia="仿宋_GB2312" w:cs="Times New Roman"/>
          <w:sz w:val="24"/>
        </w:rPr>
        <w:t>第四章　学生资助管理中心职责</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第十一条 在学院学生资助工作领导小组的领导下，配合学院财务部门共同管理和使用学院勤工助学专项资金，制定校内勤工助学岗位的报酬标准，并负责酬金的发放和管理工作。</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第十二条 接受并审核用工单位提出的需求申请，确定、调整院内勤工助学岗位。</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第十三条 根据家庭经济困难学生认定数据和学生自愿申请建立勤工助学人员储备库，并以此为基础统一向用工单位派驻勤工助学学生。安排勤工助学岗位，应优先考虑家庭经济困难的学生。对少数民族学生从事勤工助学活动，应尊重其风俗习惯。</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第十四条 组织学生开展必要的勤工助学岗前培训和安全教育，维护勤工助学学生的合法权益。不得组织学生参加有毒、有害和危险的生产作业以及超过学生身体承受能力、有碍学生身心健康的劳动。</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第十五条 制定勤工助学岗位考核办法，根据用工单位评价意见每月汇总发放勤工助学薪酬。</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第十六条 对在勤工助学活动中表现突出的学生予以表彰和奖励；对违反勤工助学相关规定的学生，可按照规定停止其勤工助学活动。对在勤工助学活动中违反校纪校规的，按照校纪校规进行教育和处理。</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第十七条 开发校外勤工助学资源。积极收集校外勤工助学信息，开拓校外勤工助学渠道，并纳入学院管理。</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 xml:space="preserve"> </w:t>
      </w:r>
      <w:r>
        <w:rPr>
          <w:rFonts w:hint="eastAsia" w:ascii="仿宋_GB2312" w:eastAsia="仿宋_GB2312" w:cs="Times New Roman"/>
          <w:sz w:val="24"/>
          <w:lang w:val="en-US" w:eastAsia="zh-CN"/>
        </w:rPr>
        <w:t xml:space="preserve">                    </w:t>
      </w:r>
      <w:r>
        <w:rPr>
          <w:rFonts w:hint="eastAsia" w:ascii="仿宋_GB2312" w:eastAsia="仿宋_GB2312" w:cs="Times New Roman"/>
          <w:sz w:val="24"/>
        </w:rPr>
        <w:t>第五章　校内勤工助学岗位设置</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第十八条 设岗原则：</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一）学院应积极开发校内资源，保证学生参与勤工助学的需要。校内勤工助学岗位设置应以校内教学助理、科研助理、行政管理助理、实验员助理、学生督查和学院公共服务等为主。按照每个家庭经济困难学生月平均上岗工时原则上不低于20小时为标准，测算出学期内全院每月需要的勤工助学总工时数（20工时×家庭经济困难学生总数），统筹安排、设置校内勤工助学岗位。</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（二）勤工助学岗位既要满足学生需求，又要保证学生不因参加勤工助学而影响学习。学生参加勤工助学的时间原则上每周不超过8小时，每月不超过40小时。寒暑假勤工助学时间可根据学院的具体情况适当延长。</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第十九条  岗位类型：</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勤工助学岗位分固定岗位和临时岗位。</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（一）固定岗位是指持续一个学期以上的长期性岗位和寒暑假期间的连续性岗位；</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（二）临时岗位是指不具有长期性，通过一次或几次勤工助学活动即完成任务的工作岗位。</w:t>
      </w:r>
    </w:p>
    <w:p>
      <w:pPr>
        <w:spacing w:line="360" w:lineRule="exact"/>
        <w:ind w:left="-525" w:leftChars="-250" w:right="-525" w:rightChars="-250" w:firstLine="3120" w:firstLineChars="1300"/>
        <w:rPr>
          <w:rFonts w:hint="eastAsia" w:ascii="仿宋_GB2312" w:eastAsia="仿宋_GB2312" w:cs="Times New Roman"/>
          <w:sz w:val="24"/>
        </w:rPr>
      </w:pPr>
      <w:r>
        <w:rPr>
          <w:rFonts w:hint="eastAsia" w:ascii="仿宋_GB2312" w:eastAsia="仿宋_GB2312" w:cs="Times New Roman"/>
          <w:sz w:val="24"/>
        </w:rPr>
        <w:t>第六章　校外勤工助学活动管理</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第二十条 学院勤工助学管理服务组织统筹管理校外勤工助学活动，并注重与学生学业的有机结合。</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第二十一条 校外用人单位聘用学生勤工助学，须向学院勤工助学管理服务组织提出申请，提供法人资格证书副本和相关的证明文件。经审核同意，学院勤工助学管理服务组织推荐适合工作要求的学生参加勤工助学活动。</w:t>
      </w:r>
    </w:p>
    <w:p>
      <w:pPr>
        <w:spacing w:line="360" w:lineRule="exact"/>
        <w:ind w:left="-525" w:leftChars="-250" w:right="-525" w:rightChars="-250" w:firstLine="3120" w:firstLineChars="1300"/>
        <w:rPr>
          <w:rFonts w:hint="eastAsia" w:ascii="仿宋_GB2312" w:eastAsia="仿宋_GB2312" w:cs="Times New Roman"/>
          <w:sz w:val="24"/>
        </w:rPr>
      </w:pPr>
      <w:r>
        <w:rPr>
          <w:rFonts w:hint="eastAsia" w:ascii="仿宋_GB2312" w:eastAsia="仿宋_GB2312" w:cs="Times New Roman"/>
          <w:sz w:val="24"/>
        </w:rPr>
        <w:t>第七章　勤工助学酬金标准及支付</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第二十二条 校内固定岗位按月计酬。学生资助管理中心根据各用工单位每月用工考核情况汇总制表报分管院领导批准后，向勤工助学学生支付报酬，酬金根据勤工助学岗位确定，原则上不低于当地政府或有关部门制定的最低工资标准或居民最低生活保障标准为计酬基准，可适当上下浮动，具体计酬方式如下：</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lang w:eastAsia="zh-CN"/>
        </w:rPr>
        <w:t>（</w:t>
      </w:r>
      <w:r>
        <w:rPr>
          <w:rFonts w:hint="eastAsia" w:ascii="仿宋_GB2312" w:eastAsia="仿宋_GB2312" w:cs="Times New Roman"/>
          <w:sz w:val="24"/>
        </w:rPr>
        <w:t>1）A类助理岗：300元/人.月;</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lang w:eastAsia="zh-CN"/>
        </w:rPr>
        <w:t>（</w:t>
      </w:r>
      <w:r>
        <w:rPr>
          <w:rFonts w:hint="eastAsia" w:ascii="仿宋_GB2312" w:eastAsia="仿宋_GB2312" w:cs="Times New Roman"/>
          <w:sz w:val="24"/>
        </w:rPr>
        <w:t>2）B类服务岗：260元/人.月;</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lang w:eastAsia="zh-CN"/>
        </w:rPr>
        <w:t>（</w:t>
      </w:r>
      <w:r>
        <w:rPr>
          <w:rFonts w:hint="eastAsia" w:ascii="仿宋_GB2312" w:eastAsia="仿宋_GB2312" w:cs="Times New Roman"/>
          <w:sz w:val="24"/>
        </w:rPr>
        <w:t>3）警务管理辅助岗：100元/人.月;</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lang w:eastAsia="zh-CN"/>
        </w:rPr>
        <w:t>（</w:t>
      </w:r>
      <w:r>
        <w:rPr>
          <w:rFonts w:hint="eastAsia" w:ascii="仿宋_GB2312" w:eastAsia="仿宋_GB2312" w:cs="Times New Roman"/>
          <w:sz w:val="24"/>
        </w:rPr>
        <w:t>4）假期助学岗：50元/人.天；</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lang w:eastAsia="zh-CN"/>
        </w:rPr>
        <w:t>（</w:t>
      </w:r>
      <w:r>
        <w:rPr>
          <w:rFonts w:hint="eastAsia" w:ascii="仿宋_GB2312" w:eastAsia="仿宋_GB2312" w:cs="Times New Roman"/>
          <w:sz w:val="24"/>
        </w:rPr>
        <w:t>5）场馆解说员：20元/人.次。</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第二十三条 校内临时岗位按小时计酬。每小时酬金可参照学院当地政府或有关部门规定的最低小时工资标准合理确定，原则上不低于每小时12元人民币。</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第二十四条 校外勤工助学酬金标准不应低于学院当地政府或有关部门规定的最低工资标准，由用人单位、学院与学生协商确定，并写入聘用协议。</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第二十五条 学生参与校内非营利性单位的勤工助学活动，其劳动报酬由勤工助学管理服务组织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pPr>
        <w:spacing w:line="360" w:lineRule="exact"/>
        <w:ind w:right="-525" w:rightChars="-250" w:firstLine="3120" w:firstLineChars="1300"/>
        <w:rPr>
          <w:rFonts w:hint="eastAsia" w:ascii="仿宋_GB2312" w:eastAsia="仿宋_GB2312" w:cs="Times New Roman"/>
          <w:sz w:val="24"/>
        </w:rPr>
      </w:pPr>
      <w:r>
        <w:rPr>
          <w:rFonts w:hint="eastAsia" w:ascii="仿宋_GB2312" w:eastAsia="仿宋_GB2312" w:cs="Times New Roman"/>
          <w:sz w:val="24"/>
        </w:rPr>
        <w:t>第八章　法律责任</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第二十六条 在校内开展勤工助学活动的，学生及用人单位须遵守国家及学院勤工助学相关管理规定。学生在校外开展勤工助学活动的，勤工助学管理服务组织必须经学院授权，代表学院与用人单位和学生三方签订具有法律效力的协议书。签订协议书并办理相关聘用手续后，学生方可开展勤工助学活动。协议书必须明确学院、用人单位和学生等各方的权利和义务，开展勤工助学活动的学生如发生意外伤害事故的处理办法以及争议解决方法。</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第二十七条 在勤工助学活动中，若出现协议纠纷或学生意外伤害事故，协议各方应按照签订的协议协商解决。如不能达成一致意见，按照有关法律法规规定的程序办理。</w:t>
      </w:r>
    </w:p>
    <w:p>
      <w:pPr>
        <w:spacing w:line="360" w:lineRule="exact"/>
        <w:ind w:left="-525" w:leftChars="-250" w:right="-525" w:rightChars="-250" w:firstLine="3840" w:firstLineChars="1600"/>
        <w:rPr>
          <w:rFonts w:hint="eastAsia" w:ascii="仿宋_GB2312" w:eastAsia="仿宋_GB2312" w:cs="Times New Roman"/>
          <w:sz w:val="24"/>
        </w:rPr>
      </w:pPr>
      <w:r>
        <w:rPr>
          <w:rFonts w:hint="eastAsia" w:ascii="仿宋_GB2312" w:eastAsia="仿宋_GB2312" w:cs="Times New Roman"/>
          <w:sz w:val="24"/>
        </w:rPr>
        <w:t>第九章　附则</w:t>
      </w:r>
    </w:p>
    <w:p>
      <w:pPr>
        <w:spacing w:line="360" w:lineRule="exact"/>
        <w:ind w:left="-525" w:leftChars="-250" w:right="-525" w:rightChars="-250" w:firstLine="480" w:firstLineChars="200"/>
        <w:rPr>
          <w:rFonts w:hint="eastAsia" w:ascii="仿宋_GB2312" w:eastAsia="仿宋_GB2312" w:cs="Times New Roman"/>
          <w:sz w:val="24"/>
        </w:rPr>
      </w:pPr>
      <w:r>
        <w:rPr>
          <w:rFonts w:hint="eastAsia" w:ascii="仿宋_GB2312" w:eastAsia="仿宋_GB2312" w:cs="Times New Roman"/>
          <w:sz w:val="24"/>
        </w:rPr>
        <w:t>第二十八条 本办法由学生处（学生资助管理中心）负责解释。本办法自公布之日起施行。学院印发的《江西警察学院勤工助学管理实施办法》（试行）赣警院字（2017）106号文件同时废止。</w:t>
      </w: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pPr>
        <w:spacing w:line="360" w:lineRule="exact"/>
        <w:ind w:left="-525" w:leftChars="-250" w:right="-525" w:rightChars="-250"/>
        <w:jc w:val="center"/>
        <w:rPr>
          <w:rFonts w:hint="eastAsia" w:ascii="黑体" w:hAnsi="宋体" w:eastAsia="黑体" w:cs="Times New Roman"/>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FC682"/>
    <w:rsid w:val="FF7FC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2019-12-17T19:32:00Z</dcterms:created>
  <dc:creator>macbookwyj</dc:creator>
  <cp:lastModifiedBy>macbookwyj</cp:lastModifiedBy>
  <dcterms:modified xsi:type="dcterms:W3CDTF">2019-12-17T19:32:40Z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