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宋体" w:eastAsia="黑体" w:cs="Times New Roman"/>
          <w:sz w:val="30"/>
          <w:szCs w:val="30"/>
        </w:rPr>
      </w:pPr>
      <w:r>
        <w:rPr>
          <w:rFonts w:hint="eastAsia" w:ascii="黑体" w:hAnsi="宋体" w:eastAsia="黑体" w:cs="Times New Roman"/>
          <w:sz w:val="30"/>
          <w:szCs w:val="30"/>
        </w:rPr>
        <w:t>江西警察学院学分制实施办法</w:t>
      </w:r>
    </w:p>
    <w:p>
      <w:pPr>
        <w:spacing w:line="360" w:lineRule="auto"/>
        <w:jc w:val="center"/>
        <w:rPr>
          <w:rFonts w:hint="eastAsia" w:ascii="黑体" w:hAnsi="宋体" w:eastAsia="黑体" w:cs="Times New Roman"/>
          <w:sz w:val="30"/>
          <w:szCs w:val="30"/>
        </w:rPr>
      </w:pP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为了充分发挥学生学习的积极性，满足学生个性和爱好的需要，培养适应经济社会发展需要的创新型人才，根据我院当前实际，特制定本办法。</w:t>
      </w:r>
    </w:p>
    <w:p>
      <w:pPr>
        <w:widowControl w:val="0"/>
        <w:wordWrap/>
        <w:adjustRightInd/>
        <w:snapToGrid/>
        <w:spacing w:line="360" w:lineRule="exact"/>
        <w:ind w:right="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第一章　课程与学分</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第一条  根据人才培养方案课程体系，课程分为必修课、选修课。必修课包括公共基础课、学科基础课、专业课和集中性实践教学环节。选修课包括通识选修课(含通识限选课、通识任选课)和专业选修课。课程学分依此划分为必修课学分、选修课学分。</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第二条　课程学分的确定与计算</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学分是用以计算学生学习量的单位，主要根据该课程的地位和在专业培养方案中安排的学时数来确定。各类课程和各教学环节按照学院专业培养方案指导意见确定学分。</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在学籍管理上以专业培养方案确定的学分计算学生的学分。</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第三条  专业总学分和课程学分的确定与计算</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各专业的总学分设定在160至170之间，各专业在制定专业培养方案时根据人才培养目标和课程设置的需要予以确定。</w:t>
      </w:r>
    </w:p>
    <w:p>
      <w:pPr>
        <w:widowControl w:val="0"/>
        <w:wordWrap/>
        <w:adjustRightInd/>
        <w:snapToGrid/>
        <w:spacing w:line="360" w:lineRule="exact"/>
        <w:ind w:right="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第二章  学分的折算与互认</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第四条  为了培养学生的实践技能和创新精神，全面提高学生的综合素质，学院鼓励学生积极参加创新创业实践活动、各类专业技能竞赛、文体比赛、学术活动等，按规定折算创新创业等必修课或选修课学分。每学年由系部统一组织，学生个人申报，并提供获奖证书或相关证明，由教务处负责认定。 </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学生参加科技文体竞赛，获国家级（及以上）比赛奖励等级或名次者折算7-5个学分，参加者折算2个学分；获省、部级比赛奖励等级或名次者折算5-3个学分，参加者折算1个学分；获学院比赛奖励等级或名次者折算3-1个学分，参加者折算0.5个学分。</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学生参加教学科研课题，获得教育部全国大学生创新性实验项目立项并结题，每项折算7-5个学分，只立项末结题每项计2分；获得省部级大学生创新性实验项目立项并结题，每项折算5-3个学分，只立项末结题每项计1分。参加我院教师主持的省级以上教学科研课题，每项折算2-1学分，未结题的折算1学分。</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学生公开发表学术论文，独立或以第一作者身份在公开发行的学术核心期刊发表论文，每篇折算5学分；在公开发行的一般性学术期刊上发表论文，每篇折算3学分；但在内部交流的刊物上发表学术论文或在普通报刊上发表非学术性文章，均不计学分。</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学生获得国家认定的综合性的资格证书可折算5-3个学分；获得单项性技能证书的可折算3-1个学分。</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学生的同一项成果获不同级别的多项奖励，其学分按其中最高级别的奖励折算。多人参与的成果或多人获得的奖项，其奖励学分由负责人或组织者根据参与人的作用与贡献进行合理分配，包括合理分配给不需要学分的参与人。</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学生参加的创新创业实践活动、各类专业技能竞赛、文体比赛、学术活动等所获得的学分可以累积计算。</w:t>
      </w:r>
    </w:p>
    <w:p>
      <w:pPr>
        <w:widowControl w:val="0"/>
        <w:wordWrap/>
        <w:adjustRightInd/>
        <w:snapToGrid/>
        <w:spacing w:line="360" w:lineRule="exact"/>
        <w:ind w:right="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第五条  学分的互认</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学分互认是指已经获得的由国家统一认可的各级各类学校给予的学分。</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学分互认的课程必须是学院人才培养方案中规定的，认定课程的学分由学生个人提供已学课程的相关资料（课程名称、课程成绩等），教务处审核后给予互认。“专升本”招录的本科生专科阶段课程按相同、相近原则，由教务处给予认定学分及学分绩点。</w:t>
      </w:r>
    </w:p>
    <w:p>
      <w:pPr>
        <w:widowControl w:val="0"/>
        <w:wordWrap/>
        <w:adjustRightInd/>
        <w:snapToGrid/>
        <w:spacing w:line="360" w:lineRule="exact"/>
        <w:ind w:right="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第</w:t>
      </w:r>
      <w:r>
        <w:rPr>
          <w:rFonts w:hint="eastAsia" w:ascii="仿宋" w:hAnsi="仿宋" w:eastAsia="仿宋" w:cs="仿宋"/>
          <w:sz w:val="24"/>
          <w:szCs w:val="24"/>
          <w:lang w:eastAsia="zh-CN"/>
        </w:rPr>
        <w:t>三</w:t>
      </w:r>
      <w:r>
        <w:rPr>
          <w:rFonts w:hint="eastAsia" w:ascii="仿宋" w:hAnsi="仿宋" w:eastAsia="仿宋" w:cs="仿宋"/>
          <w:sz w:val="24"/>
          <w:szCs w:val="24"/>
        </w:rPr>
        <w:t>章  选修与重修</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第六条 选修课程按以下程序进行：</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（一）教务处定期公布每学期开课计划，并向学生公布选课资料（如专业培养方案、选课流程图、课程简介和任课教师简介等）。</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（二）学生在开课计划公布后2周内，上网登陆到教务管理系统，严格按要求完成选课操作。</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（三）学生必须对选课负责，课程一经选定，无特殊情况不予退选或改选，学生退选或改选必须得到教务处的批准。</w:t>
      </w:r>
    </w:p>
    <w:p>
      <w:pPr>
        <w:widowControl w:val="0"/>
        <w:wordWrap/>
        <w:adjustRightInd/>
        <w:snapToGrid/>
        <w:spacing w:line="360" w:lineRule="exact"/>
        <w:ind w:right="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第七条  重  修</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(一)必修课考核不及格者（含毕业生），可以参加一次补考，也可以经个人申请学院批准后参加重修。</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选修课不及格的学生，学生可以重新选修原不及格课程，也可以改选其他选修课程。</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（二）取得重修资格的学生须按规定缴纳重修费。</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（三）重修课的教学由教务处统一安排，一门课程重修人数达到20人以上，由学院安排教师授课；少于20人，学院不安排教师授课，学生参加正常教学跟班听课。</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毕业返校重修者，根据自身情况，可参加学期开设课程的学习考核，也可采取自学与辅导相结合的方式（但参加辅导不少于3次）</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（四）重修课程成绩由平时成绩和期末考试成绩构成（自学和辅导生成绩为期末考试成绩构成），并获得相应的学分和绩点。重修后仍然不及格的，只在毕业前安排一次毕业补考。</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（五）重修课程的考试在学期末统一组织。</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（六）毕业学期（含毕业实习学期的前一学期）课程考核不及格的，学院不安排重修和改选，但学生可直接参加毕业补考。</w:t>
      </w:r>
    </w:p>
    <w:p>
      <w:pPr>
        <w:widowControl w:val="0"/>
        <w:wordWrap/>
        <w:adjustRightInd/>
        <w:snapToGrid/>
        <w:spacing w:line="360" w:lineRule="exact"/>
        <w:ind w:right="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第四章  绩点计算</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第八条  为了考量毕业生的质量，为推荐就业和评定学士学位提供依据，实行绩点学分制，课程成绩与绩点换算关系见下表： </w:t>
      </w:r>
    </w:p>
    <w:tbl>
      <w:tblPr>
        <w:tblStyle w:val="3"/>
        <w:tblW w:w="7898"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2370"/>
        <w:gridCol w:w="1691"/>
        <w:gridCol w:w="2215"/>
        <w:gridCol w:w="1622"/>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2370" w:type="dxa"/>
            <w:tcBorders>
              <w:top w:val="single" w:color="auto" w:sz="4" w:space="0"/>
              <w:left w:val="single" w:color="auto" w:sz="8" w:space="0"/>
              <w:bottom w:val="single" w:color="auto" w:sz="4" w:space="0"/>
              <w:right w:val="single" w:color="auto" w:sz="4" w:space="0"/>
            </w:tcBorders>
            <w:vAlign w:val="center"/>
          </w:tcPr>
          <w:p>
            <w:pPr>
              <w:widowControl/>
              <w:spacing w:line="500" w:lineRule="exact"/>
              <w:jc w:val="center"/>
              <w:rPr>
                <w:rFonts w:ascii="仿宋" w:hAnsi="仿宋" w:eastAsia="仿宋" w:cs="仿宋"/>
                <w:sz w:val="24"/>
                <w:szCs w:val="24"/>
              </w:rPr>
            </w:pPr>
            <w:r>
              <w:rPr>
                <w:rFonts w:hint="eastAsia" w:ascii="仿宋" w:hAnsi="仿宋" w:eastAsia="仿宋" w:cs="仿宋"/>
                <w:sz w:val="24"/>
                <w:szCs w:val="24"/>
              </w:rPr>
              <w:t>成绩(百分制)</w:t>
            </w:r>
          </w:p>
        </w:tc>
        <w:tc>
          <w:tcPr>
            <w:tcW w:w="1691" w:type="dxa"/>
            <w:tcBorders>
              <w:top w:val="single" w:color="auto" w:sz="8"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sz w:val="24"/>
                <w:szCs w:val="24"/>
              </w:rPr>
            </w:pPr>
            <w:r>
              <w:rPr>
                <w:rFonts w:hint="eastAsia" w:ascii="仿宋" w:hAnsi="仿宋" w:eastAsia="仿宋" w:cs="仿宋"/>
                <w:sz w:val="24"/>
                <w:szCs w:val="24"/>
              </w:rPr>
              <w:t>绩点</w:t>
            </w:r>
          </w:p>
        </w:tc>
        <w:tc>
          <w:tcPr>
            <w:tcW w:w="2215" w:type="dxa"/>
            <w:tcBorders>
              <w:top w:val="single" w:color="auto" w:sz="8"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sz w:val="24"/>
                <w:szCs w:val="24"/>
              </w:rPr>
            </w:pPr>
            <w:r>
              <w:rPr>
                <w:rFonts w:hint="eastAsia" w:ascii="仿宋" w:hAnsi="仿宋" w:eastAsia="仿宋" w:cs="仿宋"/>
                <w:sz w:val="24"/>
                <w:szCs w:val="24"/>
              </w:rPr>
              <w:t>成绩(五等制)</w:t>
            </w:r>
          </w:p>
        </w:tc>
        <w:tc>
          <w:tcPr>
            <w:tcW w:w="1622" w:type="dxa"/>
            <w:tcBorders>
              <w:top w:val="single" w:color="auto" w:sz="8" w:space="0"/>
              <w:left w:val="single" w:color="auto" w:sz="4" w:space="0"/>
              <w:bottom w:val="single" w:color="auto" w:sz="4" w:space="0"/>
              <w:right w:val="single" w:color="auto" w:sz="8" w:space="0"/>
            </w:tcBorders>
            <w:vAlign w:val="center"/>
          </w:tcPr>
          <w:p>
            <w:pPr>
              <w:widowControl/>
              <w:spacing w:line="500" w:lineRule="exact"/>
              <w:jc w:val="center"/>
              <w:rPr>
                <w:rFonts w:ascii="仿宋" w:hAnsi="仿宋" w:eastAsia="仿宋" w:cs="仿宋"/>
                <w:sz w:val="24"/>
                <w:szCs w:val="24"/>
              </w:rPr>
            </w:pPr>
            <w:r>
              <w:rPr>
                <w:rFonts w:hint="eastAsia" w:ascii="仿宋" w:hAnsi="仿宋" w:eastAsia="仿宋" w:cs="仿宋"/>
                <w:sz w:val="24"/>
                <w:szCs w:val="24"/>
              </w:rPr>
              <w:t>绩点</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trHeight w:val="341" w:hRule="atLeast"/>
          <w:jc w:val="center"/>
        </w:trPr>
        <w:tc>
          <w:tcPr>
            <w:tcW w:w="2370" w:type="dxa"/>
            <w:tcBorders>
              <w:top w:val="single" w:color="auto" w:sz="4" w:space="0"/>
              <w:left w:val="single" w:color="auto" w:sz="8" w:space="0"/>
              <w:bottom w:val="single" w:color="auto" w:sz="4" w:space="0"/>
              <w:right w:val="single" w:color="auto" w:sz="4" w:space="0"/>
            </w:tcBorders>
            <w:vAlign w:val="center"/>
          </w:tcPr>
          <w:p>
            <w:pPr>
              <w:widowControl/>
              <w:spacing w:line="500" w:lineRule="exact"/>
              <w:jc w:val="center"/>
              <w:rPr>
                <w:rFonts w:ascii="仿宋" w:hAnsi="仿宋" w:eastAsia="仿宋" w:cs="仿宋"/>
                <w:sz w:val="24"/>
                <w:szCs w:val="24"/>
              </w:rPr>
            </w:pPr>
            <w:r>
              <w:rPr>
                <w:rFonts w:hint="eastAsia" w:ascii="仿宋" w:hAnsi="仿宋" w:eastAsia="仿宋" w:cs="仿宋"/>
                <w:sz w:val="24"/>
                <w:szCs w:val="24"/>
              </w:rPr>
              <w:t>90—100</w:t>
            </w:r>
          </w:p>
        </w:tc>
        <w:tc>
          <w:tcPr>
            <w:tcW w:w="1691"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sz w:val="24"/>
                <w:szCs w:val="24"/>
              </w:rPr>
            </w:pPr>
            <w:r>
              <w:rPr>
                <w:rFonts w:hint="eastAsia" w:ascii="仿宋" w:hAnsi="仿宋" w:eastAsia="仿宋" w:cs="仿宋"/>
                <w:sz w:val="24"/>
                <w:szCs w:val="24"/>
              </w:rPr>
              <w:t>4.0—5.0</w:t>
            </w:r>
          </w:p>
        </w:tc>
        <w:tc>
          <w:tcPr>
            <w:tcW w:w="221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sz w:val="24"/>
                <w:szCs w:val="24"/>
              </w:rPr>
            </w:pPr>
            <w:r>
              <w:rPr>
                <w:rFonts w:hint="eastAsia" w:ascii="仿宋" w:hAnsi="仿宋" w:eastAsia="仿宋" w:cs="仿宋"/>
                <w:sz w:val="24"/>
                <w:szCs w:val="24"/>
              </w:rPr>
              <w:t>优</w:t>
            </w:r>
          </w:p>
        </w:tc>
        <w:tc>
          <w:tcPr>
            <w:tcW w:w="1622" w:type="dxa"/>
            <w:tcBorders>
              <w:top w:val="single" w:color="auto" w:sz="4" w:space="0"/>
              <w:left w:val="single" w:color="auto" w:sz="4" w:space="0"/>
              <w:bottom w:val="single" w:color="auto" w:sz="4" w:space="0"/>
              <w:right w:val="single" w:color="auto" w:sz="8" w:space="0"/>
            </w:tcBorders>
            <w:vAlign w:val="center"/>
          </w:tcPr>
          <w:p>
            <w:pPr>
              <w:widowControl/>
              <w:spacing w:line="500" w:lineRule="exact"/>
              <w:jc w:val="center"/>
              <w:rPr>
                <w:rFonts w:ascii="仿宋" w:hAnsi="仿宋" w:eastAsia="仿宋" w:cs="仿宋"/>
                <w:sz w:val="24"/>
                <w:szCs w:val="24"/>
              </w:rPr>
            </w:pPr>
            <w:r>
              <w:rPr>
                <w:rFonts w:hint="eastAsia" w:ascii="仿宋" w:hAnsi="仿宋" w:eastAsia="仿宋" w:cs="仿宋"/>
                <w:sz w:val="24"/>
                <w:szCs w:val="24"/>
              </w:rPr>
              <w:t>4.5</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2370" w:type="dxa"/>
            <w:tcBorders>
              <w:top w:val="single" w:color="auto" w:sz="4" w:space="0"/>
              <w:left w:val="single" w:color="auto" w:sz="8" w:space="0"/>
              <w:bottom w:val="single" w:color="auto" w:sz="4" w:space="0"/>
              <w:right w:val="single" w:color="auto" w:sz="4" w:space="0"/>
            </w:tcBorders>
            <w:vAlign w:val="center"/>
          </w:tcPr>
          <w:p>
            <w:pPr>
              <w:widowControl/>
              <w:spacing w:line="500" w:lineRule="exact"/>
              <w:jc w:val="center"/>
              <w:rPr>
                <w:rFonts w:ascii="仿宋" w:hAnsi="仿宋" w:eastAsia="仿宋" w:cs="仿宋"/>
                <w:sz w:val="24"/>
                <w:szCs w:val="24"/>
              </w:rPr>
            </w:pPr>
            <w:r>
              <w:rPr>
                <w:rFonts w:hint="eastAsia" w:ascii="仿宋" w:hAnsi="仿宋" w:eastAsia="仿宋" w:cs="仿宋"/>
                <w:sz w:val="24"/>
                <w:szCs w:val="24"/>
              </w:rPr>
              <w:t>80—89</w:t>
            </w:r>
          </w:p>
        </w:tc>
        <w:tc>
          <w:tcPr>
            <w:tcW w:w="1691"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sz w:val="24"/>
                <w:szCs w:val="24"/>
              </w:rPr>
            </w:pPr>
            <w:r>
              <w:rPr>
                <w:rFonts w:hint="eastAsia" w:ascii="仿宋" w:hAnsi="仿宋" w:eastAsia="仿宋" w:cs="仿宋"/>
                <w:sz w:val="24"/>
                <w:szCs w:val="24"/>
              </w:rPr>
              <w:t>3.0—3.9</w:t>
            </w:r>
          </w:p>
        </w:tc>
        <w:tc>
          <w:tcPr>
            <w:tcW w:w="221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sz w:val="24"/>
                <w:szCs w:val="24"/>
              </w:rPr>
            </w:pPr>
            <w:r>
              <w:rPr>
                <w:rFonts w:hint="eastAsia" w:ascii="仿宋" w:hAnsi="仿宋" w:eastAsia="仿宋" w:cs="仿宋"/>
                <w:sz w:val="24"/>
                <w:szCs w:val="24"/>
              </w:rPr>
              <w:t>良</w:t>
            </w:r>
          </w:p>
        </w:tc>
        <w:tc>
          <w:tcPr>
            <w:tcW w:w="1622" w:type="dxa"/>
            <w:tcBorders>
              <w:top w:val="single" w:color="auto" w:sz="4" w:space="0"/>
              <w:left w:val="single" w:color="auto" w:sz="4" w:space="0"/>
              <w:bottom w:val="single" w:color="auto" w:sz="4" w:space="0"/>
              <w:right w:val="single" w:color="auto" w:sz="8" w:space="0"/>
            </w:tcBorders>
            <w:vAlign w:val="center"/>
          </w:tcPr>
          <w:p>
            <w:pPr>
              <w:widowControl/>
              <w:spacing w:line="500" w:lineRule="exact"/>
              <w:jc w:val="center"/>
              <w:rPr>
                <w:rFonts w:ascii="仿宋" w:hAnsi="仿宋" w:eastAsia="仿宋" w:cs="仿宋"/>
                <w:sz w:val="24"/>
                <w:szCs w:val="24"/>
              </w:rPr>
            </w:pPr>
            <w:r>
              <w:rPr>
                <w:rFonts w:hint="eastAsia" w:ascii="仿宋" w:hAnsi="仿宋" w:eastAsia="仿宋" w:cs="仿宋"/>
                <w:sz w:val="24"/>
                <w:szCs w:val="24"/>
              </w:rPr>
              <w:t>3.5</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2370" w:type="dxa"/>
            <w:tcBorders>
              <w:top w:val="single" w:color="auto" w:sz="4" w:space="0"/>
              <w:left w:val="single" w:color="auto" w:sz="8" w:space="0"/>
              <w:bottom w:val="single" w:color="auto" w:sz="4" w:space="0"/>
              <w:right w:val="single" w:color="auto" w:sz="4" w:space="0"/>
            </w:tcBorders>
            <w:vAlign w:val="center"/>
          </w:tcPr>
          <w:p>
            <w:pPr>
              <w:widowControl/>
              <w:spacing w:line="500" w:lineRule="exact"/>
              <w:jc w:val="center"/>
              <w:rPr>
                <w:rFonts w:ascii="仿宋" w:hAnsi="仿宋" w:eastAsia="仿宋" w:cs="仿宋"/>
                <w:sz w:val="24"/>
                <w:szCs w:val="24"/>
              </w:rPr>
            </w:pPr>
            <w:r>
              <w:rPr>
                <w:rFonts w:hint="eastAsia" w:ascii="仿宋" w:hAnsi="仿宋" w:eastAsia="仿宋" w:cs="仿宋"/>
                <w:sz w:val="24"/>
                <w:szCs w:val="24"/>
              </w:rPr>
              <w:t>70—79</w:t>
            </w:r>
          </w:p>
        </w:tc>
        <w:tc>
          <w:tcPr>
            <w:tcW w:w="1691"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sz w:val="24"/>
                <w:szCs w:val="24"/>
              </w:rPr>
            </w:pPr>
            <w:r>
              <w:rPr>
                <w:rFonts w:hint="eastAsia" w:ascii="仿宋" w:hAnsi="仿宋" w:eastAsia="仿宋" w:cs="仿宋"/>
                <w:sz w:val="24"/>
                <w:szCs w:val="24"/>
              </w:rPr>
              <w:t>2.0—2.9</w:t>
            </w:r>
          </w:p>
        </w:tc>
        <w:tc>
          <w:tcPr>
            <w:tcW w:w="221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sz w:val="24"/>
                <w:szCs w:val="24"/>
              </w:rPr>
            </w:pPr>
            <w:r>
              <w:rPr>
                <w:rFonts w:hint="eastAsia" w:ascii="仿宋" w:hAnsi="仿宋" w:eastAsia="仿宋" w:cs="仿宋"/>
                <w:sz w:val="24"/>
                <w:szCs w:val="24"/>
              </w:rPr>
              <w:t>中</w:t>
            </w:r>
          </w:p>
        </w:tc>
        <w:tc>
          <w:tcPr>
            <w:tcW w:w="1622" w:type="dxa"/>
            <w:tcBorders>
              <w:top w:val="single" w:color="auto" w:sz="4" w:space="0"/>
              <w:left w:val="single" w:color="auto" w:sz="4" w:space="0"/>
              <w:bottom w:val="single" w:color="auto" w:sz="4" w:space="0"/>
              <w:right w:val="single" w:color="auto" w:sz="8" w:space="0"/>
            </w:tcBorders>
            <w:vAlign w:val="center"/>
          </w:tcPr>
          <w:p>
            <w:pPr>
              <w:widowControl/>
              <w:spacing w:line="500" w:lineRule="exact"/>
              <w:jc w:val="center"/>
              <w:rPr>
                <w:rFonts w:ascii="仿宋" w:hAnsi="仿宋" w:eastAsia="仿宋" w:cs="仿宋"/>
                <w:sz w:val="24"/>
                <w:szCs w:val="24"/>
              </w:rPr>
            </w:pPr>
            <w:r>
              <w:rPr>
                <w:rFonts w:hint="eastAsia" w:ascii="仿宋" w:hAnsi="仿宋" w:eastAsia="仿宋" w:cs="仿宋"/>
                <w:sz w:val="24"/>
                <w:szCs w:val="24"/>
              </w:rPr>
              <w:t>2.5</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2370" w:type="dxa"/>
            <w:tcBorders>
              <w:top w:val="single" w:color="auto" w:sz="4" w:space="0"/>
              <w:left w:val="single" w:color="auto" w:sz="8" w:space="0"/>
              <w:bottom w:val="single" w:color="auto" w:sz="4" w:space="0"/>
              <w:right w:val="single" w:color="auto" w:sz="4" w:space="0"/>
            </w:tcBorders>
            <w:vAlign w:val="center"/>
          </w:tcPr>
          <w:p>
            <w:pPr>
              <w:widowControl/>
              <w:spacing w:line="500" w:lineRule="exact"/>
              <w:jc w:val="center"/>
              <w:rPr>
                <w:rFonts w:ascii="仿宋" w:hAnsi="仿宋" w:eastAsia="仿宋" w:cs="仿宋"/>
                <w:sz w:val="24"/>
                <w:szCs w:val="24"/>
              </w:rPr>
            </w:pPr>
            <w:r>
              <w:rPr>
                <w:rFonts w:hint="eastAsia" w:ascii="仿宋" w:hAnsi="仿宋" w:eastAsia="仿宋" w:cs="仿宋"/>
                <w:sz w:val="24"/>
                <w:szCs w:val="24"/>
              </w:rPr>
              <w:t>60—69</w:t>
            </w:r>
          </w:p>
        </w:tc>
        <w:tc>
          <w:tcPr>
            <w:tcW w:w="1691"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sz w:val="24"/>
                <w:szCs w:val="24"/>
              </w:rPr>
            </w:pPr>
            <w:r>
              <w:rPr>
                <w:rFonts w:hint="eastAsia" w:ascii="仿宋" w:hAnsi="仿宋" w:eastAsia="仿宋" w:cs="仿宋"/>
                <w:sz w:val="24"/>
                <w:szCs w:val="24"/>
              </w:rPr>
              <w:t>1.0—1.9</w:t>
            </w:r>
          </w:p>
        </w:tc>
        <w:tc>
          <w:tcPr>
            <w:tcW w:w="221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sz w:val="24"/>
                <w:szCs w:val="24"/>
              </w:rPr>
            </w:pPr>
            <w:r>
              <w:rPr>
                <w:rFonts w:hint="eastAsia" w:ascii="仿宋" w:hAnsi="仿宋" w:eastAsia="仿宋" w:cs="仿宋"/>
                <w:sz w:val="24"/>
                <w:szCs w:val="24"/>
              </w:rPr>
              <w:t>及格</w:t>
            </w:r>
          </w:p>
        </w:tc>
        <w:tc>
          <w:tcPr>
            <w:tcW w:w="1622" w:type="dxa"/>
            <w:tcBorders>
              <w:top w:val="single" w:color="auto" w:sz="4" w:space="0"/>
              <w:left w:val="single" w:color="auto" w:sz="4" w:space="0"/>
              <w:bottom w:val="single" w:color="auto" w:sz="4" w:space="0"/>
              <w:right w:val="single" w:color="auto" w:sz="8" w:space="0"/>
            </w:tcBorders>
            <w:vAlign w:val="center"/>
          </w:tcPr>
          <w:p>
            <w:pPr>
              <w:widowControl/>
              <w:spacing w:line="500" w:lineRule="exact"/>
              <w:jc w:val="center"/>
              <w:rPr>
                <w:rFonts w:ascii="仿宋" w:hAnsi="仿宋" w:eastAsia="仿宋" w:cs="仿宋"/>
                <w:sz w:val="24"/>
                <w:szCs w:val="24"/>
              </w:rPr>
            </w:pPr>
            <w:r>
              <w:rPr>
                <w:rFonts w:hint="eastAsia" w:ascii="仿宋" w:hAnsi="仿宋" w:eastAsia="仿宋" w:cs="仿宋"/>
                <w:sz w:val="24"/>
                <w:szCs w:val="24"/>
              </w:rPr>
              <w:t>1.5</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2370" w:type="dxa"/>
            <w:tcBorders>
              <w:top w:val="single" w:color="auto" w:sz="4" w:space="0"/>
              <w:left w:val="single" w:color="auto" w:sz="8" w:space="0"/>
              <w:bottom w:val="single" w:color="auto" w:sz="8" w:space="0"/>
              <w:right w:val="single" w:color="auto" w:sz="4" w:space="0"/>
            </w:tcBorders>
            <w:vAlign w:val="center"/>
          </w:tcPr>
          <w:p>
            <w:pPr>
              <w:widowControl/>
              <w:spacing w:line="500" w:lineRule="exact"/>
              <w:jc w:val="center"/>
              <w:rPr>
                <w:rFonts w:ascii="仿宋" w:hAnsi="仿宋" w:eastAsia="仿宋" w:cs="仿宋"/>
                <w:sz w:val="24"/>
                <w:szCs w:val="24"/>
              </w:rPr>
            </w:pPr>
            <w:r>
              <w:rPr>
                <w:rFonts w:hint="eastAsia" w:ascii="仿宋" w:hAnsi="仿宋" w:eastAsia="仿宋" w:cs="仿宋"/>
                <w:sz w:val="24"/>
                <w:szCs w:val="24"/>
              </w:rPr>
              <w:t>59分以下</w:t>
            </w:r>
          </w:p>
        </w:tc>
        <w:tc>
          <w:tcPr>
            <w:tcW w:w="1691" w:type="dxa"/>
            <w:tcBorders>
              <w:top w:val="single" w:color="auto" w:sz="4" w:space="0"/>
              <w:left w:val="single" w:color="auto" w:sz="4" w:space="0"/>
              <w:bottom w:val="single" w:color="auto" w:sz="8" w:space="0"/>
              <w:right w:val="single" w:color="auto" w:sz="4" w:space="0"/>
            </w:tcBorders>
            <w:vAlign w:val="center"/>
          </w:tcPr>
          <w:p>
            <w:pPr>
              <w:widowControl/>
              <w:spacing w:line="500" w:lineRule="exact"/>
              <w:jc w:val="center"/>
              <w:rPr>
                <w:rFonts w:ascii="仿宋" w:hAnsi="仿宋" w:eastAsia="仿宋" w:cs="仿宋"/>
                <w:sz w:val="24"/>
                <w:szCs w:val="24"/>
              </w:rPr>
            </w:pPr>
            <w:r>
              <w:rPr>
                <w:rFonts w:hint="eastAsia" w:ascii="仿宋" w:hAnsi="仿宋" w:eastAsia="仿宋" w:cs="仿宋"/>
                <w:sz w:val="24"/>
                <w:szCs w:val="24"/>
              </w:rPr>
              <w:t>0</w:t>
            </w:r>
          </w:p>
        </w:tc>
        <w:tc>
          <w:tcPr>
            <w:tcW w:w="2215" w:type="dxa"/>
            <w:tcBorders>
              <w:top w:val="single" w:color="auto" w:sz="4" w:space="0"/>
              <w:left w:val="single" w:color="auto" w:sz="4" w:space="0"/>
              <w:bottom w:val="single" w:color="auto" w:sz="8" w:space="0"/>
              <w:right w:val="single" w:color="auto" w:sz="4" w:space="0"/>
            </w:tcBorders>
            <w:vAlign w:val="center"/>
          </w:tcPr>
          <w:p>
            <w:pPr>
              <w:widowControl/>
              <w:spacing w:line="500" w:lineRule="exact"/>
              <w:jc w:val="center"/>
              <w:rPr>
                <w:rFonts w:ascii="仿宋" w:hAnsi="仿宋" w:eastAsia="仿宋" w:cs="仿宋"/>
                <w:sz w:val="24"/>
                <w:szCs w:val="24"/>
              </w:rPr>
            </w:pPr>
            <w:r>
              <w:rPr>
                <w:rFonts w:hint="eastAsia" w:ascii="仿宋" w:hAnsi="仿宋" w:eastAsia="仿宋" w:cs="仿宋"/>
                <w:sz w:val="24"/>
                <w:szCs w:val="24"/>
              </w:rPr>
              <w:t>不及格</w:t>
            </w:r>
          </w:p>
        </w:tc>
        <w:tc>
          <w:tcPr>
            <w:tcW w:w="1622" w:type="dxa"/>
            <w:tcBorders>
              <w:top w:val="single" w:color="auto" w:sz="4" w:space="0"/>
              <w:left w:val="single" w:color="auto" w:sz="4" w:space="0"/>
              <w:bottom w:val="single" w:color="auto" w:sz="8" w:space="0"/>
              <w:right w:val="single" w:color="auto" w:sz="8" w:space="0"/>
            </w:tcBorders>
            <w:vAlign w:val="center"/>
          </w:tcPr>
          <w:p>
            <w:pPr>
              <w:widowControl/>
              <w:spacing w:line="500" w:lineRule="exact"/>
              <w:jc w:val="center"/>
              <w:rPr>
                <w:rFonts w:ascii="仿宋" w:hAnsi="仿宋" w:eastAsia="仿宋" w:cs="仿宋"/>
                <w:sz w:val="24"/>
                <w:szCs w:val="24"/>
              </w:rPr>
            </w:pPr>
            <w:r>
              <w:rPr>
                <w:rFonts w:hint="eastAsia" w:ascii="仿宋" w:hAnsi="仿宋" w:eastAsia="仿宋" w:cs="仿宋"/>
                <w:sz w:val="24"/>
                <w:szCs w:val="24"/>
              </w:rPr>
              <w:t>0</w:t>
            </w:r>
          </w:p>
        </w:tc>
      </w:tr>
    </w:tbl>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折算学分的绩点均按3.5计算。</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原课程成绩不及格，经补考及格的课程，成绩按60分或及格计，并给予规定的学分，但其绩点均记为“0”。</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原课程成绩不及格，经重修后及格的课程，成绩按重修考试成绩计，并给予规定的学分和重新计算绩点。</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学生修业期满，综合计算其平均绩点，综合计算平均绩点的公式为：平均绩点=Σ（课程绩点×学分数）/Σ课程学分。</w:t>
      </w:r>
    </w:p>
    <w:p>
      <w:pPr>
        <w:widowControl w:val="0"/>
        <w:wordWrap/>
        <w:adjustRightInd/>
        <w:snapToGrid/>
        <w:spacing w:line="360" w:lineRule="exact"/>
        <w:ind w:right="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第五章　留级与退学</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第九条</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学生在每学年（不含第四学年）的课程考试后（含补考及之前的重修考试），累计学分分别未达到28学分、56学分、84学分者应予留级。</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第十条</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学生有下列情形之一，应予退学：</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（一）  学生在每学年（不含第四学年）的课程考试后（含补考及之前的重修考试），累计学分分别未达到18学分、36学分、54学分的；</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（二）经过一次留级后，再次达到留级标准的；</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（三）在学院规定的年限内（含休学）未完成学业的；</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（四）休学期满，在学校规定期限内未提出复学申请或者申请复学经复查不合格的；</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（五）经学校指定医院诊断，患有疾病或者意外伤残无法继续在校学习的；</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（六）无正当事由在每学期的学籍注册期限内不注册的；</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（七）本人有正当理由申请退学的。</w:t>
      </w:r>
    </w:p>
    <w:p>
      <w:pPr>
        <w:widowControl w:val="0"/>
        <w:wordWrap/>
        <w:adjustRightInd/>
        <w:snapToGrid/>
        <w:spacing w:line="360" w:lineRule="exact"/>
        <w:ind w:right="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第六章　毕业、结业与肄业</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第十一条</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学生在学院规定年限内（六年），修完其所学专业培养方案规定的课程（合格），并取得专业培养方案规定的总学分，且操行成绩达到毕业要求，准予毕业，学院发给其毕业证书；</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第十二条</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学生在学院就读了四年以上，且修读了专业培养方案中所有的必修课程，但取得的学分没有达到专业人才培养方案规定的总学分，根据其本人的申请，学院发给其结业证书。</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学生结业后两年内，学院每学期为其组织一次重修或课程补考（含补做毕业设计（论文）和实习），经重修补考取得专业人才培养方案规定的学分，仍准予毕业，学院发给其毕业证书，达到学士学位授予条件的可按照学院规定申请学士学位。</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第十三条</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学生在学院就读一年以上，但不满四年，根据其本人的申请，学院发给其肄业证书。</w:t>
      </w:r>
    </w:p>
    <w:p>
      <w:pPr>
        <w:widowControl w:val="0"/>
        <w:wordWrap/>
        <w:adjustRightInd/>
        <w:snapToGrid/>
        <w:spacing w:line="360" w:lineRule="exact"/>
        <w:ind w:right="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第七章  附则</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第十四条  本办法适用本院高考招录的本科生、普通“专升本”招录的本科生。</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第十五条  本办法在学籍管理方面未涉及的有关事项，如入学、注册、转学、转专业、休学、复学和学位的取得等，分别按《江西警察学院学籍管理规定》和《江西警察学院学士学位授予细则》执行。</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第十六条  本办法由教务处负责解释。</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第十七条  本办法自公布之日起施行。原《江西警察学院学分制实施办法》（赣警院字[2014]76号）同时废止。 </w:t>
      </w:r>
    </w:p>
    <w:p>
      <w:pPr>
        <w:spacing w:line="360" w:lineRule="auto"/>
        <w:jc w:val="center"/>
        <w:rPr>
          <w:rFonts w:hint="eastAsia" w:ascii="黑体" w:hAnsi="宋体" w:eastAsia="黑体" w:cs="Times New Roman"/>
          <w:sz w:val="30"/>
          <w:szCs w:val="30"/>
        </w:rPr>
      </w:pPr>
    </w:p>
    <w:p>
      <w:r>
        <w:rPr>
          <w:rFonts w:hint="eastAsia" w:ascii="黑体" w:hAnsi="宋体" w:eastAsia="黑体" w:cs="Times New Roman"/>
          <w:sz w:val="30"/>
          <w:szCs w:val="30"/>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Arial Unicode MS"/>
    <w:panose1 w:val="02000000000000000000"/>
    <w:charset w:val="86"/>
    <w:family w:val="auto"/>
    <w:pitch w:val="default"/>
    <w:sig w:usb0="00000001" w:usb1="08000000" w:usb2="00000000" w:usb3="00000000" w:csb0="00040000" w:csb1="00000000"/>
  </w:font>
  <w:font w:name="方正黑体_GBK">
    <w:altName w:val="Arial Unicode MS"/>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Arial Unicode MS">
    <w:panose1 w:val="020B0604020202020204"/>
    <w:charset w:val="86"/>
    <w:family w:val="auto"/>
    <w:pitch w:val="default"/>
    <w:sig w:usb0="FFFFFFFF" w:usb1="E9FFFFFF" w:usb2="0000003F" w:usb3="00000000" w:csb0="603F01FF" w:csb1="FFFF0000"/>
  </w:font>
  <w:font w:name="Arial Rounded MT Bold">
    <w:panose1 w:val="020F0704030504030204"/>
    <w:charset w:val="00"/>
    <w:family w:val="auto"/>
    <w:pitch w:val="default"/>
    <w:sig w:usb0="00000003" w:usb1="00000000" w:usb2="00000000" w:usb3="00000000" w:csb0="2000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微软雅黑">
    <w:altName w:val="汉仪旗黑KW"/>
    <w:panose1 w:val="020B0503020204020204"/>
    <w:charset w:val="86"/>
    <w:family w:val="auto"/>
    <w:pitch w:val="default"/>
    <w:sig w:usb0="00000000" w:usb1="00000000" w:usb2="00000016" w:usb3="00000000" w:csb0="0004001F" w:csb1="00000000"/>
  </w:font>
  <w:font w:name="华文楷体">
    <w:panose1 w:val="02010600040101010101"/>
    <w:charset w:val="86"/>
    <w:family w:val="auto"/>
    <w:pitch w:val="default"/>
    <w:sig w:usb0="80000287" w:usb1="280F3C52" w:usb2="00000016" w:usb3="00000000" w:csb0="0004001F" w:csb1="00000000"/>
  </w:font>
  <w:font w:name="仿宋_GB2312">
    <w:altName w:val="Arial Unicode MS"/>
    <w:panose1 w:val="02010609030101010101"/>
    <w:charset w:val="86"/>
    <w:family w:val="auto"/>
    <w:pitch w:val="default"/>
    <w:sig w:usb0="00000000" w:usb1="0000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楷体_GB2312">
    <w:altName w:val="Arial Unicode MS"/>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新宋体">
    <w:altName w:val="苹方-简"/>
    <w:panose1 w:val="02010609030101010101"/>
    <w:charset w:val="86"/>
    <w:family w:val="auto"/>
    <w:pitch w:val="default"/>
    <w:sig w:usb0="00000000" w:usb1="00000000" w:usb2="00000006" w:usb3="00000000" w:csb0="00040001" w:csb1="00000000"/>
  </w:font>
  <w:font w:name="楷体">
    <w:altName w:val="汉仪楷体KW"/>
    <w:panose1 w:val="02010609060101010101"/>
    <w:charset w:val="86"/>
    <w:family w:val="auto"/>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兰亭黑-繁">
    <w:panose1 w:val="03000509000000000000"/>
    <w:charset w:val="88"/>
    <w:family w:val="auto"/>
    <w:pitch w:val="default"/>
    <w:sig w:usb0="00000001" w:usb1="080E0000" w:usb2="00000000" w:usb3="00000000" w:csb0="00100000" w:csb1="00000000"/>
  </w:font>
  <w:font w:name="汉仪旗黑KW">
    <w:panose1 w:val="00020600040101010101"/>
    <w:charset w:val="86"/>
    <w:family w:val="auto"/>
    <w:pitch w:val="default"/>
    <w:sig w:usb0="A00002BF" w:usb1="3ACF7CFA" w:usb2="00000016" w:usb3="00000000" w:csb0="0004009F" w:csb1="DFD70000"/>
  </w:font>
  <w:font w:name="汉仪楷体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7BF3B"/>
    <w:rsid w:val="FFF7B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Office_1.6.1.2429_F1E327BC-269C-435d-A152-05C5408002CA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2019-12-17T20:09:00Z</dcterms:created>
  <dc:creator>macbookwyj</dc:creator>
  <cp:lastModifiedBy>macbookwyj</cp:lastModifiedBy>
  <dcterms:modified xsi:type="dcterms:W3CDTF">2019-12-17T20:10:06Z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2052-1.6.1.2429</vt:lpwstr>
  </property>
</Properties>
</file>